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Formación en Género y Diversidad - Listado de docentes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1er eje: Conceptos fundamentales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María Rachid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Mariana Carbajal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Silvia Di Segni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SaSa Testa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Natalia de la Torre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Inés Hercovich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María Inés La Greca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Luis Angel Avalos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Ariel Sanchez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Romina Kosovsky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Mariana Miracco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Isha Escribano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Mabel Bellucci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Cecilia Figioli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2do eje: Herramientas clínicas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Alejandra Goldschmidt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Javier Camacho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Pablo Gagliesi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Manuela O'Connell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Javier Cándarle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Ricardo Aguayo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Ángeles Queipo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Luis Lublinsky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Melina Weinstein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Paula Azrilevich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Lucía Loureiro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Carolina Principi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Javier Sánchez Gómez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